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84" w:rsidRDefault="0069110C">
      <w:pPr>
        <w:spacing w:line="360" w:lineRule="auto"/>
        <w:jc w:val="both"/>
        <w:rPr>
          <w:rFonts w:hint="eastAsia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en-US"/>
        </w:rPr>
        <w:t>Processo nº 05800.051815/2019</w:t>
      </w:r>
    </w:p>
    <w:p w:rsidR="009B2F84" w:rsidRDefault="0069110C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Interessado</w:t>
      </w:r>
      <w:r>
        <w:rPr>
          <w:rFonts w:ascii="Times New Roman" w:hAnsi="Times New Roman" w:cs="Times New Roman"/>
        </w:rPr>
        <w:t xml:space="preserve">: Secretaria Municipal de Saúde de Maceió. </w:t>
      </w:r>
    </w:p>
    <w:p w:rsidR="009B2F84" w:rsidRDefault="0069110C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Assunto</w:t>
      </w:r>
      <w:r>
        <w:rPr>
          <w:rFonts w:ascii="Times New Roman" w:hAnsi="Times New Roman" w:cs="Times New Roman"/>
        </w:rPr>
        <w:t>: Contratação de empresa no ramo de Construção Civil para execução de serviços de reforma da Unidade de Saúde José Guedes de Farias- Porte II, situada no Conjunto Medeiros Neto I, nº.03, Santa Amélia, Maceió/AL.</w:t>
      </w:r>
    </w:p>
    <w:p w:rsidR="009B2F84" w:rsidRDefault="009B2F84">
      <w:pPr>
        <w:jc w:val="both"/>
        <w:rPr>
          <w:rFonts w:ascii="Times New Roman" w:hAnsi="Times New Roman" w:cs="Times New Roman"/>
        </w:rPr>
      </w:pPr>
    </w:p>
    <w:p w:rsidR="009B2F84" w:rsidRDefault="009B2F84">
      <w:pPr>
        <w:jc w:val="both"/>
        <w:rPr>
          <w:rFonts w:ascii="Times New Roman" w:hAnsi="Times New Roman" w:cs="Times New Roman"/>
        </w:rPr>
      </w:pP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Diligência- Art. 43, § 3º- Lei nº. 8.666/93.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TOMADA DE PREÇOS nº. 04/2020</w:t>
      </w:r>
    </w:p>
    <w:p w:rsidR="009B2F84" w:rsidRDefault="009B2F84">
      <w:pPr>
        <w:jc w:val="center"/>
        <w:rPr>
          <w:rFonts w:ascii="Times New Roman" w:hAnsi="Times New Roman" w:cs="Times New Roman"/>
          <w:b/>
          <w:bCs/>
        </w:rPr>
      </w:pPr>
    </w:p>
    <w:p w:rsidR="009B2F84" w:rsidRDefault="009B2F84">
      <w:pPr>
        <w:jc w:val="center"/>
        <w:rPr>
          <w:rFonts w:ascii="Times New Roman" w:hAnsi="Times New Roman" w:cs="Times New Roman"/>
          <w:b/>
          <w:bCs/>
        </w:rPr>
      </w:pPr>
    </w:p>
    <w:p w:rsidR="009B2F84" w:rsidRDefault="0069110C">
      <w:pPr>
        <w:numPr>
          <w:ilvl w:val="0"/>
          <w:numId w:val="1"/>
        </w:num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O presente processo trata de procedimento licitatório a fim de contratar empresa para obras de empresa no ramo da construção civil para execução de serviço de reforma da Unidade de Saúde José Guedes de Farias- Porte II, situada no Conjunto Medeiros Neto I, nº.03, Santa Amélia, Maceió/AL.</w:t>
      </w:r>
    </w:p>
    <w:p w:rsidR="009B2F84" w:rsidRDefault="0069110C">
      <w:pPr>
        <w:numPr>
          <w:ilvl w:val="0"/>
          <w:numId w:val="1"/>
        </w:num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No dia 22/04/2020, em sessão pública, foram abertos os envelopes de Proposta de Preço das empresas que participaram da Tomada de Preço 04/2020. Assim, a equipe Técnica da Coordenação Geral de Engenharia e Arquitetura da Secretaria Municipal de Saúde realizou análise técnica da documentação apresentada pelas empresas e constatou que existem inconsistências que precisam ser esclarecidas pelas licitantes sob pena de desclassificação de suas respectivas propostas.</w:t>
      </w:r>
    </w:p>
    <w:p w:rsidR="009B2F84" w:rsidRDefault="0069110C">
      <w:pPr>
        <w:numPr>
          <w:ilvl w:val="0"/>
          <w:numId w:val="1"/>
        </w:num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Diante de tudo quanto exposto, mormente dos questionamentos da SMS, que seguem anexo, devem as licitantes, no prazo razoável de </w:t>
      </w:r>
      <w:r>
        <w:rPr>
          <w:rFonts w:ascii="Times New Roman" w:hAnsi="Times New Roman" w:cs="Times New Roman"/>
          <w:b/>
          <w:bCs/>
          <w:u w:val="single"/>
        </w:rPr>
        <w:t>dois dias úteis,</w:t>
      </w:r>
      <w:r>
        <w:rPr>
          <w:rFonts w:ascii="Times New Roman" w:hAnsi="Times New Roman" w:cs="Times New Roman"/>
        </w:rPr>
        <w:t xml:space="preserve"> a contar do recebimento da presente diligência, ofertar a esta Comissão Permanente de Licitação de Obras e Serviços de Engenharia - CPLOSE, os esclarecimentos requisitados acompanhados de documentação quando for o caso.</w:t>
      </w:r>
    </w:p>
    <w:p w:rsidR="009B2F84" w:rsidRDefault="009B2F84">
      <w:pPr>
        <w:spacing w:line="360" w:lineRule="auto"/>
        <w:jc w:val="center"/>
        <w:rPr>
          <w:rFonts w:hint="eastAsia"/>
        </w:rPr>
      </w:pPr>
    </w:p>
    <w:p w:rsidR="009B2F84" w:rsidRDefault="0069110C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Maceió/AL, 17 de junho de 2020.</w:t>
      </w:r>
    </w:p>
    <w:p w:rsidR="009B2F84" w:rsidRDefault="009B2F84">
      <w:pPr>
        <w:spacing w:line="360" w:lineRule="auto"/>
        <w:jc w:val="center"/>
        <w:rPr>
          <w:rFonts w:hint="eastAsia"/>
        </w:rPr>
      </w:pP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José Marçal de Aranha Falcão Filho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Matrícula nº. 952032-5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Diretoria de Comissão de Licitação</w:t>
      </w:r>
    </w:p>
    <w:p w:rsidR="009B2F84" w:rsidRDefault="009B2F84">
      <w:pPr>
        <w:jc w:val="center"/>
        <w:rPr>
          <w:rFonts w:ascii="Times New Roman" w:hAnsi="Times New Roman" w:cs="Times New Roman"/>
        </w:rPr>
      </w:pPr>
    </w:p>
    <w:p w:rsidR="009B2F84" w:rsidRDefault="009B2F84">
      <w:pPr>
        <w:jc w:val="center"/>
        <w:rPr>
          <w:rFonts w:ascii="Times New Roman" w:hAnsi="Times New Roman" w:cs="Times New Roman"/>
        </w:rPr>
      </w:pP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Camila Barros dos Santos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Membro CPLOSE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Matrícula nº. 952031-7</w:t>
      </w:r>
    </w:p>
    <w:p w:rsidR="009B2F84" w:rsidRDefault="009B2F84">
      <w:pPr>
        <w:jc w:val="center"/>
        <w:rPr>
          <w:rFonts w:ascii="Times New Roman" w:hAnsi="Times New Roman" w:cs="Times New Roman"/>
        </w:rPr>
      </w:pPr>
    </w:p>
    <w:p w:rsidR="009B2F84" w:rsidRDefault="009B2F84">
      <w:pPr>
        <w:jc w:val="center"/>
        <w:rPr>
          <w:rFonts w:ascii="Times New Roman" w:hAnsi="Times New Roman" w:cs="Times New Roman"/>
        </w:rPr>
      </w:pP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Greyzzianne Emanuella Gomes Farias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Membro CPLOSE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Matrícula nº. 952037-6</w:t>
      </w:r>
    </w:p>
    <w:p w:rsidR="009B2F84" w:rsidRDefault="009B2F84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9B2F84" w:rsidRDefault="009B2F84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Juniely Batista da Silva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>Membro da CPLOSE</w:t>
      </w: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Matrícula nº </w:t>
      </w:r>
      <w:r>
        <w:rPr>
          <w:rFonts w:ascii="Times New Roman" w:hAnsi="Times New Roman" w:cs="Times New Roman"/>
          <w:color w:val="000000"/>
        </w:rPr>
        <w:t>952033-3</w:t>
      </w:r>
    </w:p>
    <w:p w:rsidR="009B2F84" w:rsidRDefault="009B2F84">
      <w:pPr>
        <w:jc w:val="center"/>
        <w:rPr>
          <w:rFonts w:hint="eastAsia"/>
        </w:rPr>
      </w:pPr>
    </w:p>
    <w:p w:rsidR="009B2F84" w:rsidRDefault="009B2F84">
      <w:pPr>
        <w:jc w:val="center"/>
        <w:rPr>
          <w:rFonts w:hint="eastAsia"/>
          <w:b/>
          <w:bCs/>
        </w:rPr>
      </w:pPr>
    </w:p>
    <w:p w:rsidR="009B2F84" w:rsidRDefault="0069110C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ORIGINAL ASSINADO</w:t>
      </w:r>
    </w:p>
    <w:p w:rsidR="009B2F84" w:rsidRDefault="009B2F84">
      <w:pPr>
        <w:jc w:val="center"/>
        <w:rPr>
          <w:rFonts w:hint="eastAsia"/>
          <w:b/>
          <w:bCs/>
        </w:rPr>
      </w:pPr>
    </w:p>
    <w:p w:rsidR="009B2F84" w:rsidRDefault="0069110C">
      <w:pPr>
        <w:numPr>
          <w:ilvl w:val="0"/>
          <w:numId w:val="2"/>
        </w:num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Questionamentos:</w:t>
      </w:r>
    </w:p>
    <w:p w:rsidR="009B2F84" w:rsidRDefault="009B2F84">
      <w:pPr>
        <w:jc w:val="both"/>
        <w:rPr>
          <w:rFonts w:ascii="Times New Roman" w:hAnsi="Times New Roman" w:cs="Times New Roman"/>
        </w:rPr>
      </w:pPr>
    </w:p>
    <w:p w:rsidR="009B2F84" w:rsidRDefault="0069110C">
      <w:pPr>
        <w:pStyle w:val="Corpodetexto"/>
        <w:ind w:left="113"/>
        <w:jc w:val="both"/>
        <w:rPr>
          <w:rFonts w:hint="eastAsia"/>
        </w:rPr>
      </w:pPr>
      <w:r>
        <w:rPr>
          <w:rFonts w:ascii="Times New Roman" w:hAnsi="Times New Roman"/>
        </w:rPr>
        <w:tab/>
        <w:t>Constatamos que a Construtora Albuquerque que ficou em 5º lugar em relação aos preços das concorrentes, apresentou inconformidade no item do Edital – Julgamento da proposta, 11.2.1</w:t>
      </w:r>
      <w:r>
        <w:rPr>
          <w:rFonts w:ascii="Times New Roman" w:hAnsi="Times New Roman"/>
          <w:spacing w:val="-31"/>
        </w:rPr>
        <w:t>“e”.</w:t>
      </w:r>
    </w:p>
    <w:p w:rsidR="009B2F84" w:rsidRDefault="0069110C">
      <w:pPr>
        <w:pStyle w:val="Corpodetexto"/>
        <w:spacing w:before="200" w:after="0"/>
        <w:ind w:left="170"/>
        <w:jc w:val="both"/>
        <w:rPr>
          <w:rFonts w:hint="eastAsia"/>
        </w:rPr>
      </w:pPr>
      <w:r>
        <w:rPr>
          <w:rFonts w:ascii="Times New Roman" w:hAnsi="Times New Roman"/>
        </w:rPr>
        <w:tab/>
        <w:t>No item 15.1 - EXTINTOR INCENDIO TP PO QUIMICO 6KG - FORNECIMENTO E INSTALACAO</w:t>
      </w:r>
      <w:r>
        <w:rPr>
          <w:rFonts w:ascii="Times New Roman" w:hAnsi="Times New Roman"/>
          <w:spacing w:val="-4"/>
        </w:rPr>
        <w:t>–</w:t>
      </w:r>
    </w:p>
    <w:p w:rsidR="009B2F84" w:rsidRDefault="0069110C">
      <w:pPr>
        <w:pStyle w:val="Corpodetexto"/>
        <w:spacing w:before="43" w:after="0"/>
        <w:ind w:left="113" w:right="100"/>
        <w:jc w:val="both"/>
        <w:rPr>
          <w:rFonts w:hint="eastAsia"/>
        </w:rPr>
      </w:pPr>
      <w:r>
        <w:rPr>
          <w:rFonts w:ascii="Times New Roman" w:hAnsi="Times New Roman"/>
        </w:rPr>
        <w:t>O preço total do item apresentado em planilha é superior ao preço apresentado como referência pela administração. O valor apresentado pela administração para o item é de R$584,72 (Quinhentos e oitenta e quatro reais e setenta e dois centavos) e referente a Construtora Albuquerque Ltda o preço evidenciado é de R$657,60 (Seiscentos e cinquenta e sete reais e sessenta centavos). Existindo a diferença de R$72,88 (Setenta e dois reais e oitenta e oito centavos). Esse valor equivale a menos de 0,013% comparando com o valor total da planilha orçamentária da Construtora.</w:t>
      </w:r>
    </w:p>
    <w:p w:rsidR="002720F1" w:rsidRDefault="0069110C">
      <w:pPr>
        <w:pStyle w:val="Corpodetexto"/>
        <w:widowControl w:val="0"/>
        <w:spacing w:before="200" w:after="0"/>
        <w:ind w:left="113" w:right="101" w:firstLine="708"/>
        <w:jc w:val="both"/>
        <w:rPr>
          <w:rFonts w:hint="eastAsia"/>
        </w:rPr>
      </w:pPr>
      <w:r>
        <w:rPr>
          <w:rFonts w:ascii="Times New Roman" w:hAnsi="Times New Roman" w:cs="Times New Roman"/>
          <w:spacing w:val="-10"/>
        </w:rPr>
        <w:t>Constatamos que o item 11.2.28, referente a caixa d´água em fibra de vidro, não foi analisado, pois o mesmo não consta na planilha da licitante.</w:t>
      </w:r>
    </w:p>
    <w:sectPr w:rsidR="002720F1" w:rsidSect="009B2F84">
      <w:headerReference w:type="default" r:id="rId7"/>
      <w:headerReference w:type="first" r:id="rId8"/>
      <w:pgSz w:w="11906" w:h="16838"/>
      <w:pgMar w:top="2911" w:right="1134" w:bottom="1134" w:left="1134" w:header="113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10C" w:rsidRDefault="0069110C">
      <w:pPr>
        <w:rPr>
          <w:rFonts w:hint="eastAsia"/>
        </w:rPr>
      </w:pPr>
      <w:r>
        <w:separator/>
      </w:r>
    </w:p>
  </w:endnote>
  <w:endnote w:type="continuationSeparator" w:id="1">
    <w:p w:rsidR="0069110C" w:rsidRDefault="006911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10C" w:rsidRDefault="0069110C">
      <w:pPr>
        <w:rPr>
          <w:rFonts w:hint="eastAsia"/>
        </w:rPr>
      </w:pPr>
      <w:r>
        <w:separator/>
      </w:r>
    </w:p>
  </w:footnote>
  <w:footnote w:type="continuationSeparator" w:id="1">
    <w:p w:rsidR="0069110C" w:rsidRDefault="006911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F84" w:rsidRDefault="002720F1">
    <w:pPr>
      <w:pStyle w:val="Cabealho"/>
      <w:jc w:val="center"/>
      <w:rPr>
        <w:rFonts w:hint="eastAsia"/>
      </w:rPr>
    </w:pPr>
    <w:r>
      <w:rPr>
        <w:noProof/>
        <w:lang w:eastAsia="pt-BR" w:bidi="ar-SA"/>
      </w:rPr>
      <w:drawing>
        <wp:inline distT="0" distB="0" distL="0" distR="0">
          <wp:extent cx="969010" cy="948690"/>
          <wp:effectExtent l="0" t="0" r="254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-20" t="-20" r="-20" b="-20"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9486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F84" w:rsidRDefault="009B2F84">
    <w:pP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Cs w:val="24"/>
        <w:lang w:eastAsia="zh-C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attachedTemplate r:id="rId1"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2720F1"/>
    <w:rsid w:val="002720F1"/>
    <w:rsid w:val="0069110C"/>
    <w:rsid w:val="0081499F"/>
    <w:rsid w:val="009B2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F84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9B2F84"/>
    <w:rPr>
      <w:rFonts w:ascii="Times New Roman" w:hAnsi="Times New Roman" w:cs="Times New Roman"/>
      <w:szCs w:val="24"/>
      <w:lang w:eastAsia="zh-CN"/>
    </w:rPr>
  </w:style>
  <w:style w:type="character" w:customStyle="1" w:styleId="WW8Num2z0">
    <w:name w:val="WW8Num2z0"/>
    <w:rsid w:val="009B2F84"/>
    <w:rPr>
      <w:rFonts w:ascii="Symbol" w:hAnsi="Symbol" w:cs="OpenSymbol"/>
    </w:rPr>
  </w:style>
  <w:style w:type="character" w:customStyle="1" w:styleId="WW8Num2z1">
    <w:name w:val="WW8Num2z1"/>
    <w:rsid w:val="009B2F84"/>
    <w:rPr>
      <w:rFonts w:ascii="OpenSymbol" w:hAnsi="OpenSymbol" w:cs="OpenSymbol"/>
    </w:rPr>
  </w:style>
  <w:style w:type="character" w:customStyle="1" w:styleId="WW8Num3z0">
    <w:name w:val="WW8Num3z0"/>
    <w:rsid w:val="009B2F84"/>
  </w:style>
  <w:style w:type="character" w:customStyle="1" w:styleId="WW8Num3z1">
    <w:name w:val="WW8Num3z1"/>
    <w:rsid w:val="009B2F84"/>
  </w:style>
  <w:style w:type="character" w:customStyle="1" w:styleId="WW8Num3z2">
    <w:name w:val="WW8Num3z2"/>
    <w:rsid w:val="009B2F84"/>
  </w:style>
  <w:style w:type="character" w:customStyle="1" w:styleId="WW8Num3z3">
    <w:name w:val="WW8Num3z3"/>
    <w:rsid w:val="009B2F84"/>
  </w:style>
  <w:style w:type="character" w:customStyle="1" w:styleId="WW8Num3z4">
    <w:name w:val="WW8Num3z4"/>
    <w:rsid w:val="009B2F84"/>
  </w:style>
  <w:style w:type="character" w:customStyle="1" w:styleId="WW8Num3z5">
    <w:name w:val="WW8Num3z5"/>
    <w:rsid w:val="009B2F84"/>
  </w:style>
  <w:style w:type="character" w:customStyle="1" w:styleId="WW8Num3z6">
    <w:name w:val="WW8Num3z6"/>
    <w:rsid w:val="009B2F84"/>
  </w:style>
  <w:style w:type="character" w:customStyle="1" w:styleId="WW8Num3z7">
    <w:name w:val="WW8Num3z7"/>
    <w:rsid w:val="009B2F84"/>
  </w:style>
  <w:style w:type="character" w:customStyle="1" w:styleId="WW8Num3z8">
    <w:name w:val="WW8Num3z8"/>
    <w:rsid w:val="009B2F84"/>
  </w:style>
  <w:style w:type="character" w:customStyle="1" w:styleId="Marcas">
    <w:name w:val="Marcas"/>
    <w:rsid w:val="009B2F84"/>
    <w:rPr>
      <w:rFonts w:ascii="OpenSymbol" w:eastAsia="OpenSymbol" w:hAnsi="OpenSymbol" w:cs="OpenSymbol"/>
    </w:rPr>
  </w:style>
  <w:style w:type="paragraph" w:customStyle="1" w:styleId="Ttulo1">
    <w:name w:val="Título1"/>
    <w:basedOn w:val="Normal"/>
    <w:next w:val="Corpodetexto"/>
    <w:rsid w:val="009B2F8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9B2F84"/>
    <w:pPr>
      <w:spacing w:after="140" w:line="276" w:lineRule="auto"/>
    </w:pPr>
  </w:style>
  <w:style w:type="paragraph" w:styleId="Lista">
    <w:name w:val="List"/>
    <w:basedOn w:val="Corpodetexto"/>
    <w:rsid w:val="009B2F84"/>
  </w:style>
  <w:style w:type="paragraph" w:styleId="Legenda">
    <w:name w:val="caption"/>
    <w:basedOn w:val="Normal"/>
    <w:qFormat/>
    <w:rsid w:val="009B2F84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9B2F84"/>
    <w:pPr>
      <w:suppressLineNumbers/>
    </w:pPr>
  </w:style>
  <w:style w:type="paragraph" w:styleId="Cabealho">
    <w:name w:val="header"/>
    <w:basedOn w:val="Normal"/>
    <w:rsid w:val="009B2F84"/>
    <w:pPr>
      <w:suppressLineNumbers/>
      <w:tabs>
        <w:tab w:val="center" w:pos="4819"/>
        <w:tab w:val="right" w:pos="96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1499F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499F"/>
    <w:rPr>
      <w:rFonts w:ascii="Tahoma" w:eastAsia="N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szCs w:val="24"/>
      <w:lang w:eastAsia="zh-CN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Marcas">
    <w:name w:val="Marcas"/>
    <w:rPr>
      <w:rFonts w:ascii="OpenSymbol" w:eastAsia="OpenSymbol" w:hAnsi="OpenSymbol" w:cs="OpenSymbol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_bu\AppData\Local\Temp\DILIG&#202;NCIA%20ALBUQUERQUE-2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DILIGÊNCIA ALBUQUERQUE-2</Template>
  <TotalTime>1</TotalTime>
  <Pages>2</Pages>
  <Words>445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bulhoes</dc:creator>
  <cp:lastModifiedBy>DIRLICIT-02</cp:lastModifiedBy>
  <cp:revision>2</cp:revision>
  <cp:lastPrinted>1995-11-21T20:41:00Z</cp:lastPrinted>
  <dcterms:created xsi:type="dcterms:W3CDTF">2020-06-22T15:03:00Z</dcterms:created>
  <dcterms:modified xsi:type="dcterms:W3CDTF">2020-06-22T15:03:00Z</dcterms:modified>
</cp:coreProperties>
</file>